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18D" w:rsidRDefault="00F3261A">
      <w:pPr>
        <w:pStyle w:val="CRCoverPage"/>
        <w:tabs>
          <w:tab w:val="right" w:pos="9639"/>
        </w:tabs>
        <w:spacing w:after="0"/>
        <w:rPr>
          <w:b/>
          <w:sz w:val="24"/>
          <w:szCs w:val="24"/>
          <w:lang w:val="sv-SE" w:eastAsia="ko-KR"/>
        </w:rPr>
      </w:pPr>
      <w:r>
        <w:rPr>
          <w:b/>
          <w:sz w:val="24"/>
          <w:szCs w:val="24"/>
          <w:lang w:val="sv-SE"/>
        </w:rPr>
        <w:t>3GPP TSG-RAN2 #120</w:t>
      </w:r>
      <w:r>
        <w:rPr>
          <w:b/>
          <w:sz w:val="24"/>
          <w:szCs w:val="24"/>
          <w:lang w:val="sv-SE"/>
        </w:rPr>
        <w:tab/>
        <w:t>R2-221</w:t>
      </w:r>
      <w:r w:rsidR="00962921">
        <w:rPr>
          <w:b/>
          <w:sz w:val="24"/>
          <w:szCs w:val="24"/>
          <w:lang w:val="sv-SE"/>
        </w:rPr>
        <w:t>2735</w:t>
      </w:r>
    </w:p>
    <w:p w:rsidR="0026418D" w:rsidRDefault="00F3261A">
      <w:pPr>
        <w:pStyle w:val="CRCoverPage"/>
        <w:outlineLvl w:val="0"/>
        <w:rPr>
          <w:sz w:val="24"/>
          <w:szCs w:val="24"/>
        </w:rPr>
      </w:pPr>
      <w:r>
        <w:rPr>
          <w:b/>
          <w:sz w:val="24"/>
          <w:szCs w:val="24"/>
        </w:rPr>
        <w:t>Toulouse, France, November 14 – November 18, 2022</w:t>
      </w:r>
      <w:r>
        <w:rPr>
          <w:b/>
          <w:sz w:val="24"/>
          <w:szCs w:val="24"/>
        </w:rPr>
        <w:tab/>
      </w:r>
      <w:r>
        <w:rPr>
          <w:b/>
          <w:sz w:val="24"/>
          <w:szCs w:val="24"/>
        </w:rPr>
        <w:tab/>
      </w:r>
      <w:r>
        <w:rPr>
          <w:b/>
          <w:sz w:val="24"/>
          <w:szCs w:val="24"/>
        </w:rPr>
        <w:tab/>
        <w:t xml:space="preserve"> </w:t>
      </w:r>
    </w:p>
    <w:p w:rsidR="0026418D" w:rsidRDefault="0026418D">
      <w:pPr>
        <w:pStyle w:val="a6"/>
        <w:rPr>
          <w:lang w:val="en-GB" w:eastAsia="ko-KR"/>
        </w:rPr>
      </w:pPr>
    </w:p>
    <w:p w:rsidR="0026418D" w:rsidRDefault="00F3261A">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sz w:val="24"/>
          <w:lang w:val="en-US" w:eastAsia="ko-KR"/>
        </w:rPr>
        <w:t>6.0.1</w:t>
      </w:r>
      <w:r w:rsidR="00DB4FBF">
        <w:rPr>
          <w:rFonts w:ascii="Arial" w:hAnsi="Arial"/>
          <w:sz w:val="24"/>
          <w:lang w:val="en-US" w:eastAsia="ko-KR"/>
        </w:rPr>
        <w:t>.1</w:t>
      </w:r>
      <w:r>
        <w:rPr>
          <w:rFonts w:ascii="Arial" w:hAnsi="Arial"/>
          <w:sz w:val="24"/>
          <w:lang w:val="en-US" w:eastAsia="ko-KR"/>
        </w:rPr>
        <w:t xml:space="preserve"> </w:t>
      </w:r>
      <w:r>
        <w:rPr>
          <w:rFonts w:ascii="Arial" w:hAnsi="Arial" w:hint="eastAsia"/>
          <w:sz w:val="24"/>
          <w:lang w:val="en-US" w:eastAsia="ko-KR"/>
        </w:rPr>
        <w:t>(</w:t>
      </w:r>
      <w:proofErr w:type="spellStart"/>
      <w:r>
        <w:rPr>
          <w:rFonts w:ascii="Arial" w:hAnsi="Arial"/>
          <w:sz w:val="24"/>
          <w:lang w:val="en-US" w:eastAsia="ko-KR"/>
        </w:rPr>
        <w:t>NR_NTN_</w:t>
      </w:r>
      <w:proofErr w:type="gramStart"/>
      <w:r>
        <w:rPr>
          <w:rFonts w:ascii="Arial" w:hAnsi="Arial"/>
          <w:sz w:val="24"/>
          <w:lang w:val="en-US" w:eastAsia="ko-KR"/>
        </w:rPr>
        <w:t>solutions</w:t>
      </w:r>
      <w:proofErr w:type="spellEnd"/>
      <w:proofErr w:type="gramEnd"/>
      <w:r>
        <w:rPr>
          <w:rFonts w:ascii="Arial" w:hAnsi="Arial"/>
          <w:sz w:val="24"/>
          <w:lang w:val="en-US" w:eastAsia="ko-KR"/>
        </w:rPr>
        <w:t>-Core</w:t>
      </w:r>
      <w:r>
        <w:rPr>
          <w:rFonts w:ascii="Arial" w:hAnsi="Arial" w:hint="eastAsia"/>
          <w:sz w:val="24"/>
          <w:lang w:val="en-US" w:eastAsia="ko-KR"/>
        </w:rPr>
        <w:t>)</w:t>
      </w:r>
    </w:p>
    <w:p w:rsidR="0026418D" w:rsidRDefault="00F3261A">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w:t>
      </w:r>
    </w:p>
    <w:p w:rsidR="0026418D" w:rsidRDefault="00F3261A">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t>RNA configuration across TN cell and NTN cell</w:t>
      </w:r>
    </w:p>
    <w:p w:rsidR="0026418D" w:rsidRDefault="00F3261A">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bookmarkStart w:id="2" w:name="_GoBack"/>
      <w:bookmarkEnd w:id="2"/>
    </w:p>
    <w:p w:rsidR="0026418D" w:rsidRDefault="00F3261A">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26418D" w:rsidRDefault="00F3261A">
      <w:pPr>
        <w:rPr>
          <w:lang w:eastAsia="ko-KR"/>
        </w:rPr>
      </w:pPr>
      <w:r>
        <w:rPr>
          <w:rFonts w:hint="eastAsia"/>
          <w:lang w:eastAsia="ko-KR"/>
        </w:rPr>
        <w:t>At RAN2#119</w:t>
      </w:r>
      <w:r>
        <w:rPr>
          <w:lang w:eastAsia="ko-KR"/>
        </w:rPr>
        <w:t>bis</w:t>
      </w:r>
      <w:r>
        <w:rPr>
          <w:rFonts w:hint="eastAsia"/>
          <w:lang w:eastAsia="ko-KR"/>
        </w:rPr>
        <w:t xml:space="preserve">-e, there was a discussion on </w:t>
      </w:r>
      <w:r>
        <w:rPr>
          <w:lang w:eastAsia="ko-KR"/>
        </w:rPr>
        <w:t>how to prevent SDT procedure on a NTN cell if the UE is not capable of SDT in NTN cell [1]. During the discussion, it was commonly understood that the UE not supporting a feature will not initiate the feature. Thus, it was concluded that there is no need to have a CR to clarify that the UE does not initiate SDT procedure in a NTN cell if the UE is not capable of SDT in NTN cell.</w:t>
      </w:r>
    </w:p>
    <w:p w:rsidR="0026418D" w:rsidRDefault="00F3261A">
      <w:pPr>
        <w:rPr>
          <w:lang w:eastAsia="ko-KR"/>
        </w:rPr>
      </w:pPr>
      <w:r>
        <w:rPr>
          <w:lang w:eastAsia="ko-KR"/>
        </w:rPr>
        <w:t>However, another issue was brought up during the e-mail discussion, i.e. whether RNA is allowed to be configured across TN cell and NTN cell. Due to diverging views, RAN2 didn’t conclude on this issue, and decided to discuss this issue in RAN2#120 meeting, as shown below.</w:t>
      </w:r>
    </w:p>
    <w:tbl>
      <w:tblPr>
        <w:tblStyle w:val="ab"/>
        <w:tblW w:w="0" w:type="auto"/>
        <w:tblLook w:val="04A0" w:firstRow="1" w:lastRow="0" w:firstColumn="1" w:lastColumn="0" w:noHBand="0" w:noVBand="1"/>
      </w:tblPr>
      <w:tblGrid>
        <w:gridCol w:w="9631"/>
      </w:tblGrid>
      <w:tr w:rsidR="0026418D">
        <w:tc>
          <w:tcPr>
            <w:tcW w:w="9631" w:type="dxa"/>
          </w:tcPr>
          <w:p w:rsidR="0026418D" w:rsidRDefault="0026418D">
            <w:pPr>
              <w:rPr>
                <w:lang w:eastAsia="ko-KR"/>
              </w:rPr>
            </w:pPr>
          </w:p>
          <w:p w:rsidR="0026418D" w:rsidRDefault="00F3261A">
            <w:pPr>
              <w:pStyle w:val="BoldComments"/>
            </w:pPr>
            <w:bookmarkStart w:id="3" w:name="_Hlk116205292"/>
            <w:r>
              <w:t>SDT + NTN</w:t>
            </w:r>
          </w:p>
          <w:p w:rsidR="0026418D" w:rsidRDefault="005834D8">
            <w:pPr>
              <w:pStyle w:val="Doc-title"/>
              <w:ind w:left="1200" w:hanging="400"/>
            </w:pPr>
            <w:hyperlink r:id="rId12" w:tooltip="C:Usersmtk65284Documents3GPPtsg_ranWG2_RL2TSGR2_119bis-eDocsR2-2209925.zip" w:history="1">
              <w:r w:rsidR="00F3261A">
                <w:rPr>
                  <w:rStyle w:val="ae"/>
                </w:rPr>
                <w:t>R2-2209925</w:t>
              </w:r>
            </w:hyperlink>
            <w:r w:rsidR="00F3261A">
              <w:tab/>
              <w:t>Issues on Small Data Transmission under TN &amp; NTN Mobility</w:t>
            </w:r>
            <w:r w:rsidR="00F3261A">
              <w:tab/>
              <w:t>FGI</w:t>
            </w:r>
            <w:r w:rsidR="00F3261A">
              <w:tab/>
              <w:t>discussion</w:t>
            </w:r>
          </w:p>
          <w:p w:rsidR="0026418D" w:rsidRDefault="00F3261A">
            <w:pPr>
              <w:pStyle w:val="Agreement"/>
              <w:tabs>
                <w:tab w:val="num" w:pos="1619"/>
              </w:tabs>
              <w:spacing w:line="240" w:lineRule="auto"/>
            </w:pPr>
            <w:r>
              <w:t>[003] noted</w:t>
            </w:r>
          </w:p>
          <w:p w:rsidR="0026418D" w:rsidRDefault="00F3261A">
            <w:pPr>
              <w:pStyle w:val="Agreement"/>
              <w:tabs>
                <w:tab w:val="num" w:pos="1619"/>
              </w:tabs>
              <w:spacing w:line="240" w:lineRule="auto"/>
            </w:pPr>
            <w:r>
              <w:t>[003] On whether to support RNA configuration across TN and NTN cells, there is no consensus and companies are encouraged to bring this discussion to next RAN2 (also possibly RAN3) meetings to reach a consensus</w:t>
            </w:r>
          </w:p>
          <w:p w:rsidR="0026418D" w:rsidRDefault="005834D8">
            <w:pPr>
              <w:pStyle w:val="Doc-title"/>
              <w:ind w:left="1200" w:hanging="400"/>
            </w:pPr>
            <w:hyperlink r:id="rId13" w:tooltip="C:Usersmtk65284Documents3GPPtsg_ranWG2_RL2TSGR2_119bis-eDocsR2-2209926.zip" w:history="1">
              <w:r w:rsidR="00F3261A">
                <w:rPr>
                  <w:rStyle w:val="ae"/>
                </w:rPr>
                <w:t>R2-2209926</w:t>
              </w:r>
            </w:hyperlink>
            <w:r w:rsidR="00F3261A">
              <w:tab/>
              <w:t>Corrections for Small Data Transmission under TN &amp; NTN Mobility</w:t>
            </w:r>
            <w:r w:rsidR="00F3261A">
              <w:tab/>
              <w:t>FGI</w:t>
            </w:r>
            <w:r w:rsidR="00F3261A">
              <w:tab/>
              <w:t>CR</w:t>
            </w:r>
            <w:r w:rsidR="00F3261A">
              <w:tab/>
              <w:t>Rel-17</w:t>
            </w:r>
            <w:r w:rsidR="00F3261A">
              <w:tab/>
              <w:t>38.331</w:t>
            </w:r>
            <w:r w:rsidR="00F3261A">
              <w:tab/>
              <w:t>17.2.0</w:t>
            </w:r>
            <w:r w:rsidR="00F3261A">
              <w:tab/>
              <w:t>3518</w:t>
            </w:r>
            <w:r w:rsidR="00F3261A">
              <w:tab/>
              <w:t>-</w:t>
            </w:r>
            <w:r w:rsidR="00F3261A">
              <w:tab/>
              <w:t>F</w:t>
            </w:r>
            <w:r w:rsidR="00F3261A">
              <w:tab/>
            </w:r>
            <w:proofErr w:type="spellStart"/>
            <w:r w:rsidR="00F3261A">
              <w:t>NR_SmallData_INACTIVE</w:t>
            </w:r>
            <w:proofErr w:type="spellEnd"/>
            <w:r w:rsidR="00F3261A">
              <w:t>-Core</w:t>
            </w:r>
          </w:p>
          <w:p w:rsidR="0026418D" w:rsidRDefault="00F3261A">
            <w:pPr>
              <w:pStyle w:val="Agreement"/>
              <w:tabs>
                <w:tab w:val="num" w:pos="1619"/>
              </w:tabs>
              <w:spacing w:line="240" w:lineRule="auto"/>
            </w:pPr>
            <w:r>
              <w:t>[003] Not pursued</w:t>
            </w:r>
          </w:p>
          <w:bookmarkEnd w:id="3"/>
          <w:p w:rsidR="0026418D" w:rsidRDefault="0026418D">
            <w:pPr>
              <w:rPr>
                <w:lang w:eastAsia="ko-KR"/>
              </w:rPr>
            </w:pPr>
          </w:p>
        </w:tc>
      </w:tr>
    </w:tbl>
    <w:p w:rsidR="0026418D" w:rsidRDefault="0026418D">
      <w:pPr>
        <w:rPr>
          <w:sz w:val="2"/>
          <w:szCs w:val="2"/>
          <w:lang w:eastAsia="ko-KR"/>
        </w:rPr>
      </w:pPr>
    </w:p>
    <w:p w:rsidR="0026418D" w:rsidRDefault="00F3261A">
      <w:pPr>
        <w:rPr>
          <w:lang w:val="en-US" w:eastAsia="ko-KR"/>
        </w:rPr>
      </w:pPr>
      <w:r>
        <w:rPr>
          <w:rFonts w:hint="eastAsia"/>
          <w:lang w:val="en-US" w:eastAsia="ko-KR"/>
        </w:rPr>
        <w:t xml:space="preserve">In this document, we provide our views on whether the RNA is allowed to be configured across </w:t>
      </w:r>
      <w:r>
        <w:rPr>
          <w:lang w:val="en-US" w:eastAsia="ko-KR"/>
        </w:rPr>
        <w:t xml:space="preserve">TN cell and </w:t>
      </w:r>
      <w:r>
        <w:rPr>
          <w:rFonts w:hint="eastAsia"/>
          <w:lang w:val="en-US" w:eastAsia="ko-KR"/>
        </w:rPr>
        <w:t>NTN cell.</w:t>
      </w:r>
    </w:p>
    <w:p w:rsidR="0026418D" w:rsidRDefault="0026418D">
      <w:pPr>
        <w:rPr>
          <w:lang w:val="en-US" w:eastAsia="ko-KR"/>
        </w:rPr>
      </w:pPr>
    </w:p>
    <w:p w:rsidR="0026418D" w:rsidRDefault="00F3261A">
      <w:pPr>
        <w:pStyle w:val="1"/>
        <w:rPr>
          <w:lang w:val="en-US"/>
        </w:rPr>
      </w:pPr>
      <w:r>
        <w:rPr>
          <w:lang w:val="en-US"/>
        </w:rPr>
        <w:t>2.</w:t>
      </w:r>
      <w:r>
        <w:rPr>
          <w:lang w:val="en-US"/>
        </w:rPr>
        <w:tab/>
        <w:t>Discussion</w:t>
      </w:r>
    </w:p>
    <w:p w:rsidR="0026418D" w:rsidRDefault="00F3261A">
      <w:pPr>
        <w:rPr>
          <w:lang w:eastAsia="ko-KR"/>
        </w:rPr>
      </w:pPr>
      <w:r>
        <w:rPr>
          <w:rFonts w:hint="eastAsia"/>
          <w:lang w:eastAsia="ko-KR"/>
        </w:rPr>
        <w:t xml:space="preserve">It is not clear whether the network can configure </w:t>
      </w:r>
      <w:r>
        <w:rPr>
          <w:lang w:eastAsia="ko-KR"/>
        </w:rPr>
        <w:t xml:space="preserve">TN cell and </w:t>
      </w:r>
      <w:r>
        <w:rPr>
          <w:rFonts w:hint="eastAsia"/>
          <w:lang w:eastAsia="ko-KR"/>
        </w:rPr>
        <w:t>NTN cell in the same RNA. Actually, there is no restriction in the specification</w:t>
      </w:r>
      <w:r>
        <w:rPr>
          <w:lang w:eastAsia="ko-KR"/>
        </w:rPr>
        <w:t>, and thus the network may configure them in the same RNA.</w:t>
      </w:r>
    </w:p>
    <w:p w:rsidR="0026418D" w:rsidRDefault="00F3261A">
      <w:pPr>
        <w:rPr>
          <w:lang w:eastAsia="ko-KR"/>
        </w:rPr>
      </w:pPr>
      <w:r>
        <w:rPr>
          <w:lang w:eastAsia="ko-KR"/>
        </w:rPr>
        <w:t>However, considering the different characteristics of TN cell and NTN cell, we think it is not sensible implementation to put them in the same RNA. Due to the large RTT in NTN cell, we think the UE Inactive AS Context would not be same between TN cell and NTN cell, and we can’t imagine that the network configures them in the same RNA. Moreover, if they are allowed to be in the same RNA, each feature supported in RRC_INACTIVE has to be investigated when changing from TN cell to NTN cell and vice versa. Though currently we have only SDT, it cannot be assured that only SDT can be supported in RRC_INACTIVE in a future.</w:t>
      </w:r>
    </w:p>
    <w:p w:rsidR="0026418D" w:rsidRDefault="00F3261A">
      <w:pPr>
        <w:rPr>
          <w:lang w:eastAsia="ko-KR"/>
        </w:rPr>
      </w:pPr>
      <w:r>
        <w:rPr>
          <w:lang w:eastAsia="ko-KR"/>
        </w:rPr>
        <w:lastRenderedPageBreak/>
        <w:t>To avoid any potential problem, it would be safe and future proof approach to specify that the network does not configure TN cell and NTN cell in the same RNA.</w:t>
      </w:r>
    </w:p>
    <w:p w:rsidR="0026418D" w:rsidRDefault="00F3261A">
      <w:pPr>
        <w:rPr>
          <w:b/>
          <w:lang w:eastAsia="ko-KR"/>
        </w:rPr>
      </w:pPr>
      <w:r>
        <w:rPr>
          <w:b/>
          <w:lang w:eastAsia="ko-KR"/>
        </w:rPr>
        <w:t>Proposal 1: Agree that the network does not configure TN cell and NTN cell in the same RNA.</w:t>
      </w:r>
    </w:p>
    <w:p w:rsidR="0026418D" w:rsidRDefault="0026418D">
      <w:pPr>
        <w:rPr>
          <w:lang w:eastAsia="ko-KR"/>
        </w:rPr>
      </w:pPr>
    </w:p>
    <w:p w:rsidR="00DD3B41" w:rsidRDefault="00DD3B41" w:rsidP="00DD3B41">
      <w:pPr>
        <w:rPr>
          <w:lang w:eastAsia="ko-KR"/>
        </w:rPr>
      </w:pPr>
      <w:r>
        <w:rPr>
          <w:rFonts w:hint="eastAsia"/>
          <w:lang w:eastAsia="ko-KR"/>
        </w:rPr>
        <w:t xml:space="preserve">If Proposal 1 is agreeable, this should be specified in the specification. For where to specify the restriction, we think RAN3 specification is proper place. </w:t>
      </w:r>
      <w:r>
        <w:rPr>
          <w:lang w:eastAsia="ko-KR"/>
        </w:rPr>
        <w:t>The RNA handling is under RAN3 scope, and RAN2 can send LS to RAN3 to specify the restriction in their specification.</w:t>
      </w:r>
    </w:p>
    <w:p w:rsidR="00DD3B41" w:rsidRDefault="00DD3B41" w:rsidP="00DD3B41">
      <w:pPr>
        <w:rPr>
          <w:b/>
          <w:lang w:eastAsia="ko-KR"/>
        </w:rPr>
      </w:pPr>
      <w:r>
        <w:rPr>
          <w:b/>
          <w:lang w:eastAsia="ko-KR"/>
        </w:rPr>
        <w:t>Proposal 2: Send LS to RAN3 to specify the restriction in their specification.</w:t>
      </w:r>
    </w:p>
    <w:p w:rsidR="00DD3B41" w:rsidRDefault="00DD3B41">
      <w:pPr>
        <w:rPr>
          <w:lang w:eastAsia="ko-KR"/>
        </w:rPr>
      </w:pPr>
    </w:p>
    <w:p w:rsidR="004D1C90" w:rsidRDefault="000F3190">
      <w:pPr>
        <w:rPr>
          <w:lang w:eastAsia="ko-KR"/>
        </w:rPr>
      </w:pPr>
      <w:r>
        <w:rPr>
          <w:lang w:eastAsia="ko-KR"/>
        </w:rPr>
        <w:t>I</w:t>
      </w:r>
      <w:r>
        <w:rPr>
          <w:rFonts w:hint="eastAsia"/>
          <w:lang w:eastAsia="ko-KR"/>
        </w:rPr>
        <w:t xml:space="preserve">f </w:t>
      </w:r>
      <w:r>
        <w:rPr>
          <w:lang w:eastAsia="ko-KR"/>
        </w:rPr>
        <w:t>Proposal 1 is not agreeable, i.e. if companies think that the network can configure TN cell and NTN cell in the same RNA, there may be an issue in SDT feature. For example, when the UE capable of SDT in TN cell moves to a NTN cell</w:t>
      </w:r>
      <w:r w:rsidR="004D1C90">
        <w:rPr>
          <w:lang w:eastAsia="ko-KR"/>
        </w:rPr>
        <w:t xml:space="preserve"> belonging to the same RNA</w:t>
      </w:r>
      <w:r>
        <w:rPr>
          <w:lang w:eastAsia="ko-KR"/>
        </w:rPr>
        <w:t>, the UE releases SDT configuration</w:t>
      </w:r>
      <w:r w:rsidR="004D1C90">
        <w:rPr>
          <w:lang w:eastAsia="ko-KR"/>
        </w:rPr>
        <w:t xml:space="preserve"> without performing RNAU. Then, if the SDT procedure is triggered in the NTN cell, </w:t>
      </w:r>
      <w:r w:rsidR="004D1C90" w:rsidRPr="004D1C90">
        <w:rPr>
          <w:lang w:eastAsia="ko-KR"/>
        </w:rPr>
        <w:t xml:space="preserve">the UE may consider the conditions for initiating SDT are fulfilled even </w:t>
      </w:r>
      <w:r w:rsidR="004D1C90">
        <w:rPr>
          <w:lang w:eastAsia="ko-KR"/>
        </w:rPr>
        <w:t xml:space="preserve">if </w:t>
      </w:r>
      <w:r w:rsidR="004D1C90" w:rsidRPr="004D1C90">
        <w:rPr>
          <w:lang w:eastAsia="ko-KR"/>
        </w:rPr>
        <w:t xml:space="preserve">the UE does not support </w:t>
      </w:r>
      <w:r w:rsidR="004D1C90">
        <w:rPr>
          <w:lang w:eastAsia="ko-KR"/>
        </w:rPr>
        <w:t>SDT procedure in the NTN cell</w:t>
      </w:r>
      <w:r w:rsidR="004D1C90" w:rsidRPr="004D1C90">
        <w:rPr>
          <w:lang w:eastAsia="ko-KR"/>
        </w:rPr>
        <w:t>.</w:t>
      </w:r>
    </w:p>
    <w:p w:rsidR="004D1C90" w:rsidRDefault="004D1C90">
      <w:pPr>
        <w:rPr>
          <w:lang w:eastAsia="ko-KR"/>
        </w:rPr>
      </w:pPr>
      <w:r>
        <w:rPr>
          <w:lang w:eastAsia="ko-KR"/>
        </w:rPr>
        <w:t>Therefore, even if the network can configure TN cell and NTN cell in the same RNA, we think such configuration should not be allowed at least for SDT. We think a NOTE proposed by Nokia in [1] should be considered.</w:t>
      </w:r>
    </w:p>
    <w:p w:rsidR="004D1C90" w:rsidRDefault="004D1C90">
      <w:pPr>
        <w:rPr>
          <w:lang w:eastAsia="ko-KR"/>
        </w:rPr>
      </w:pPr>
      <w:r w:rsidRPr="005A1829">
        <w:rPr>
          <w:rFonts w:eastAsia="Symbol"/>
          <w:bCs/>
          <w:i/>
          <w:iCs/>
          <w:lang w:eastAsia="zh-CN"/>
        </w:rPr>
        <w:t>NOTE: If network configures SDT for UE, it does not configure TN and NTN cells in the same RNA.</w:t>
      </w:r>
    </w:p>
    <w:p w:rsidR="000F3190" w:rsidRDefault="004D1C90">
      <w:pPr>
        <w:rPr>
          <w:lang w:eastAsia="ko-KR"/>
        </w:rPr>
      </w:pPr>
      <w:r w:rsidRPr="00C5179F">
        <w:rPr>
          <w:b/>
          <w:lang w:eastAsia="ko-KR"/>
        </w:rPr>
        <w:t xml:space="preserve">Proposal </w:t>
      </w:r>
      <w:r w:rsidR="00DD3B41">
        <w:rPr>
          <w:b/>
          <w:lang w:eastAsia="ko-KR"/>
        </w:rPr>
        <w:t>3</w:t>
      </w:r>
      <w:r w:rsidRPr="00C5179F">
        <w:rPr>
          <w:b/>
          <w:lang w:eastAsia="ko-KR"/>
        </w:rPr>
        <w:t xml:space="preserve">: </w:t>
      </w:r>
      <w:r w:rsidR="00C5179F">
        <w:rPr>
          <w:b/>
          <w:lang w:eastAsia="ko-KR"/>
        </w:rPr>
        <w:t>I</w:t>
      </w:r>
      <w:r w:rsidR="00C5179F" w:rsidRPr="00C5179F">
        <w:rPr>
          <w:b/>
          <w:lang w:eastAsia="ko-KR"/>
        </w:rPr>
        <w:t xml:space="preserve">f </w:t>
      </w:r>
      <w:r w:rsidR="00C5179F">
        <w:rPr>
          <w:b/>
          <w:lang w:eastAsia="ko-KR"/>
        </w:rPr>
        <w:t>RAN2 agree that the network can configure TN cell and NTN cell in the same RNA, a note should be added to RRC specification to prevent such configuration for SDT.</w:t>
      </w:r>
    </w:p>
    <w:p w:rsidR="0026418D" w:rsidRDefault="0026418D">
      <w:pPr>
        <w:rPr>
          <w:lang w:eastAsia="ko-KR"/>
        </w:rPr>
      </w:pPr>
    </w:p>
    <w:p w:rsidR="0026418D" w:rsidRDefault="00F3261A">
      <w:pPr>
        <w:pStyle w:val="1"/>
        <w:rPr>
          <w:lang w:val="en-US"/>
        </w:rPr>
      </w:pPr>
      <w:r>
        <w:rPr>
          <w:lang w:val="en-US"/>
        </w:rPr>
        <w:t>3.</w:t>
      </w:r>
      <w:r>
        <w:rPr>
          <w:lang w:val="en-US"/>
        </w:rPr>
        <w:tab/>
        <w:t>Conclusions</w:t>
      </w:r>
    </w:p>
    <w:p w:rsidR="0026418D" w:rsidRDefault="00F3261A">
      <w:pPr>
        <w:rPr>
          <w:lang w:val="en-US" w:eastAsia="ko-KR"/>
        </w:rPr>
      </w:pPr>
      <w:r>
        <w:rPr>
          <w:lang w:val="en-US" w:eastAsia="ko-KR"/>
        </w:rPr>
        <w:t xml:space="preserve">In this document, we explain our views on </w:t>
      </w:r>
      <w:r>
        <w:rPr>
          <w:rFonts w:hint="eastAsia"/>
          <w:lang w:val="en-US" w:eastAsia="ko-KR"/>
        </w:rPr>
        <w:t xml:space="preserve">RNA </w:t>
      </w:r>
      <w:r>
        <w:rPr>
          <w:lang w:val="en-US" w:eastAsia="ko-KR"/>
        </w:rPr>
        <w:t>configuration</w:t>
      </w:r>
      <w:r>
        <w:rPr>
          <w:rFonts w:hint="eastAsia"/>
          <w:lang w:val="en-US" w:eastAsia="ko-KR"/>
        </w:rPr>
        <w:t xml:space="preserve"> across </w:t>
      </w:r>
      <w:r>
        <w:rPr>
          <w:lang w:val="en-US" w:eastAsia="ko-KR"/>
        </w:rPr>
        <w:t xml:space="preserve">TN cell and </w:t>
      </w:r>
      <w:r>
        <w:rPr>
          <w:rFonts w:hint="eastAsia"/>
          <w:lang w:val="en-US" w:eastAsia="ko-KR"/>
        </w:rPr>
        <w:t>NTN cell</w:t>
      </w:r>
      <w:r>
        <w:rPr>
          <w:lang w:val="en-US" w:eastAsia="ko-KR"/>
        </w:rPr>
        <w:t>. We have following proposals:</w:t>
      </w:r>
    </w:p>
    <w:p w:rsidR="0026418D" w:rsidRDefault="00F3261A">
      <w:pPr>
        <w:rPr>
          <w:b/>
          <w:lang w:eastAsia="ko-KR"/>
        </w:rPr>
      </w:pPr>
      <w:r>
        <w:rPr>
          <w:b/>
          <w:lang w:eastAsia="ko-KR"/>
        </w:rPr>
        <w:t>Proposal 1: Agree that the network does not configure TN cell and NTN cell in the same RNA.</w:t>
      </w:r>
    </w:p>
    <w:p w:rsidR="00DD3B41" w:rsidRDefault="00DD3B41" w:rsidP="00DD3B41">
      <w:pPr>
        <w:rPr>
          <w:b/>
          <w:lang w:eastAsia="ko-KR"/>
        </w:rPr>
      </w:pPr>
      <w:r>
        <w:rPr>
          <w:b/>
          <w:lang w:eastAsia="ko-KR"/>
        </w:rPr>
        <w:t>Proposal 2: Send LS to RAN3 to specify the restriction in their specification.</w:t>
      </w:r>
    </w:p>
    <w:p w:rsidR="00C5179F" w:rsidRDefault="00DD3B41" w:rsidP="00C5179F">
      <w:pPr>
        <w:rPr>
          <w:lang w:eastAsia="ko-KR"/>
        </w:rPr>
      </w:pPr>
      <w:r>
        <w:rPr>
          <w:b/>
          <w:lang w:eastAsia="ko-KR"/>
        </w:rPr>
        <w:t>Proposal 3</w:t>
      </w:r>
      <w:r w:rsidR="00C5179F" w:rsidRPr="00C5179F">
        <w:rPr>
          <w:b/>
          <w:lang w:eastAsia="ko-KR"/>
        </w:rPr>
        <w:t xml:space="preserve">: </w:t>
      </w:r>
      <w:r w:rsidR="00C5179F">
        <w:rPr>
          <w:b/>
          <w:lang w:eastAsia="ko-KR"/>
        </w:rPr>
        <w:t>I</w:t>
      </w:r>
      <w:r w:rsidR="00C5179F" w:rsidRPr="00C5179F">
        <w:rPr>
          <w:b/>
          <w:lang w:eastAsia="ko-KR"/>
        </w:rPr>
        <w:t xml:space="preserve">f </w:t>
      </w:r>
      <w:r w:rsidR="00C5179F">
        <w:rPr>
          <w:b/>
          <w:lang w:eastAsia="ko-KR"/>
        </w:rPr>
        <w:t>RAN2 agree that the network can configure TN cell and NTN cell in the same RNA, a note should be added to RRC specification to prevent such configuration for SDT.</w:t>
      </w:r>
    </w:p>
    <w:p w:rsidR="0026418D" w:rsidRPr="00C5179F" w:rsidRDefault="0026418D">
      <w:pPr>
        <w:rPr>
          <w:b/>
          <w:lang w:eastAsia="ko-KR"/>
        </w:rPr>
      </w:pPr>
    </w:p>
    <w:p w:rsidR="0026418D" w:rsidRDefault="00F3261A">
      <w:pPr>
        <w:pStyle w:val="1"/>
        <w:rPr>
          <w:lang w:val="en-US"/>
        </w:rPr>
      </w:pPr>
      <w:r>
        <w:rPr>
          <w:lang w:val="en-US"/>
        </w:rPr>
        <w:t>4.</w:t>
      </w:r>
      <w:r>
        <w:rPr>
          <w:lang w:val="en-US"/>
        </w:rPr>
        <w:tab/>
        <w:t>References</w:t>
      </w:r>
    </w:p>
    <w:p w:rsidR="0026418D" w:rsidRDefault="00F3261A">
      <w:pPr>
        <w:rPr>
          <w:lang w:val="en-US" w:eastAsia="ko-KR"/>
        </w:rPr>
      </w:pPr>
      <w:r>
        <w:rPr>
          <w:rFonts w:hint="eastAsia"/>
          <w:lang w:val="en-US" w:eastAsia="ko-KR"/>
        </w:rPr>
        <w:t xml:space="preserve">[1] </w:t>
      </w:r>
      <w:r>
        <w:rPr>
          <w:lang w:val="en-US" w:eastAsia="ko-KR"/>
        </w:rPr>
        <w:t>R2-2211051   Report for [AT119bis-</w:t>
      </w:r>
      <w:proofErr w:type="gramStart"/>
      <w:r>
        <w:rPr>
          <w:lang w:val="en-US" w:eastAsia="ko-KR"/>
        </w:rPr>
        <w:t>e][</w:t>
      </w:r>
      <w:proofErr w:type="gramEnd"/>
      <w:r>
        <w:rPr>
          <w:lang w:val="en-US" w:eastAsia="ko-KR"/>
        </w:rPr>
        <w:t xml:space="preserve">003][NR17] RRC corrections         Huawei, </w:t>
      </w:r>
      <w:proofErr w:type="spellStart"/>
      <w:r>
        <w:rPr>
          <w:lang w:val="en-US" w:eastAsia="ko-KR"/>
        </w:rPr>
        <w:t>HiSilicon</w:t>
      </w:r>
      <w:proofErr w:type="spellEnd"/>
    </w:p>
    <w:p w:rsidR="0026418D" w:rsidRDefault="0026418D">
      <w:pPr>
        <w:rPr>
          <w:b/>
          <w:lang w:eastAsia="ko-KR"/>
        </w:rPr>
      </w:pPr>
    </w:p>
    <w:p w:rsidR="0026418D" w:rsidRDefault="0026418D">
      <w:pPr>
        <w:rPr>
          <w:b/>
          <w:lang w:eastAsia="ko-KR"/>
        </w:rPr>
      </w:pPr>
    </w:p>
    <w:sectPr w:rsidR="0026418D">
      <w:footerReference w:type="even" r:id="rId14"/>
      <w:footerReference w:type="default" r:id="rId15"/>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34D8" w:rsidRDefault="005834D8">
      <w:pPr>
        <w:spacing w:after="0" w:line="240" w:lineRule="auto"/>
      </w:pPr>
      <w:r>
        <w:separator/>
      </w:r>
    </w:p>
  </w:endnote>
  <w:endnote w:type="continuationSeparator" w:id="0">
    <w:p w:rsidR="005834D8" w:rsidRDefault="005834D8">
      <w:pPr>
        <w:spacing w:after="0" w:line="240" w:lineRule="auto"/>
      </w:pPr>
      <w:r>
        <w:continuationSeparator/>
      </w:r>
    </w:p>
  </w:endnote>
  <w:endnote w:type="continuationNotice" w:id="1">
    <w:p w:rsidR="005834D8" w:rsidRDefault="005834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18D" w:rsidRDefault="00F3261A">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rsidR="0026418D" w:rsidRDefault="0026418D">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418D" w:rsidRDefault="00F3261A">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962921">
      <w:rPr>
        <w:rStyle w:val="ad"/>
        <w:noProof/>
      </w:rPr>
      <w:t>1</w:t>
    </w:r>
    <w:r>
      <w:rPr>
        <w:rStyle w:val="ad"/>
      </w:rPr>
      <w:fldChar w:fldCharType="end"/>
    </w:r>
  </w:p>
  <w:p w:rsidR="0026418D" w:rsidRDefault="0026418D">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34D8" w:rsidRDefault="005834D8">
      <w:pPr>
        <w:spacing w:after="0" w:line="240" w:lineRule="auto"/>
      </w:pPr>
      <w:r>
        <w:separator/>
      </w:r>
    </w:p>
  </w:footnote>
  <w:footnote w:type="continuationSeparator" w:id="0">
    <w:p w:rsidR="005834D8" w:rsidRDefault="005834D8">
      <w:pPr>
        <w:spacing w:after="0" w:line="240" w:lineRule="auto"/>
      </w:pPr>
      <w:r>
        <w:continuationSeparator/>
      </w:r>
    </w:p>
  </w:footnote>
  <w:footnote w:type="continuationNotice" w:id="1">
    <w:p w:rsidR="005834D8" w:rsidRDefault="005834D8">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5"/>
  </w:num>
  <w:num w:numId="3">
    <w:abstractNumId w:val="1"/>
  </w:num>
  <w:num w:numId="4">
    <w:abstractNumId w:val="4"/>
  </w:num>
  <w:num w:numId="5">
    <w:abstractNumId w:val="7"/>
  </w:num>
  <w:num w:numId="6">
    <w:abstractNumId w:val="3"/>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18D"/>
    <w:rsid w:val="000F3190"/>
    <w:rsid w:val="0026418D"/>
    <w:rsid w:val="004D1C90"/>
    <w:rsid w:val="005834D8"/>
    <w:rsid w:val="00962921"/>
    <w:rsid w:val="00C5179F"/>
    <w:rsid w:val="00DB4FBF"/>
    <w:rsid w:val="00DD3B41"/>
    <w:rsid w:val="00F32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7FD86D"/>
  <w15:docId w15:val="{A4F8AB26-B5F6-4C19-AA53-E8E3C0CF9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paragraph" w:customStyle="1" w:styleId="BoldComments">
    <w:name w:val="Bold Comments"/>
    <w:basedOn w:val="a"/>
    <w:link w:val="BoldCommentsChar"/>
    <w:qFormat/>
    <w:pPr>
      <w:spacing w:before="240" w:after="60" w:line="240" w:lineRule="auto"/>
      <w:outlineLvl w:val="8"/>
    </w:pPr>
    <w:rPr>
      <w:rFonts w:ascii="Arial" w:eastAsia="MS Mincho" w:hAnsi="Arial"/>
      <w:b/>
      <w:szCs w:val="24"/>
      <w:lang w:val="x-none" w:eastAsia="x-none"/>
    </w:rPr>
  </w:style>
  <w:style w:type="character" w:customStyle="1" w:styleId="BoldCommentsChar">
    <w:name w:val="Bold Comments Char"/>
    <w:link w:val="BoldComments"/>
    <w:rPr>
      <w:rFonts w:ascii="Arial" w:eastAsia="MS Mincho"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mtk65284\Documents\3GPP\tsg_ran\WG2_RL2\TSGR2_119bis-e\Docs\R2-2209926.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mtk65284\Documents\3GPP\tsg_ran\WG2_RL2\TSGR2_119bis-e\Docs\R2-220992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3.xml><?xml version="1.0" encoding="utf-8"?>
<ds:datastoreItem xmlns:ds="http://schemas.openxmlformats.org/officeDocument/2006/customXml" ds:itemID="{EB48CE49-EF65-4F78-A1B3-22B5DEC0F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8B853389-5951-4BAE-81A0-B5F7A66FE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1120</TotalTime>
  <Pages>2</Pages>
  <Words>744</Words>
  <Characters>4241</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4976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SeungJune Yi</cp:lastModifiedBy>
  <cp:revision>98</cp:revision>
  <dcterms:created xsi:type="dcterms:W3CDTF">2021-12-27T02:32:00Z</dcterms:created>
  <dcterms:modified xsi:type="dcterms:W3CDTF">2022-11-04T03:15:00Z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0x010100C3355BB4B7850E44A83DAD8AF6CF14B0</vt:lpwstr>
  </property>
</Properties>
</file>